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rPr>
          <w:rFonts w:ascii="宋体" w:hAnsi="宋体" w:cs="宋体"/>
          <w:b/>
          <w:color w:val="000000" w:themeColor="text1"/>
          <w:sz w:val="36"/>
          <w:szCs w:val="36"/>
        </w:rPr>
      </w:pPr>
    </w:p>
    <w:p>
      <w:pPr>
        <w:spacing w:line="600" w:lineRule="exact"/>
        <w:rPr>
          <w:rFonts w:ascii="宋体" w:hAnsi="宋体" w:cs="宋体"/>
          <w:b/>
          <w:color w:val="000000" w:themeColor="text1"/>
          <w:sz w:val="36"/>
          <w:szCs w:val="36"/>
        </w:rPr>
      </w:pPr>
    </w:p>
    <w:p>
      <w:pPr>
        <w:spacing w:line="600" w:lineRule="exact"/>
        <w:rPr>
          <w:rFonts w:ascii="宋体" w:hAnsi="宋体" w:cs="宋体"/>
          <w:b/>
          <w:color w:val="000000" w:themeColor="text1"/>
          <w:sz w:val="36"/>
          <w:szCs w:val="36"/>
        </w:rPr>
      </w:pPr>
    </w:p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Cs/>
          <w:color w:val="000000" w:themeColor="text1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color w:val="000000" w:themeColor="text1"/>
          <w:sz w:val="44"/>
          <w:szCs w:val="44"/>
        </w:rPr>
        <w:t>关于第六期环保合规性培训的</w:t>
      </w:r>
      <w:r>
        <w:rPr>
          <w:rFonts w:hint="eastAsia" w:ascii="方正小标宋简体" w:hAnsi="方正小标宋简体" w:eastAsia="方正小标宋简体" w:cs="方正小标宋简体"/>
          <w:bCs/>
          <w:color w:val="000000" w:themeColor="text1"/>
          <w:sz w:val="44"/>
          <w:szCs w:val="44"/>
          <w:lang w:val="en-US" w:eastAsia="zh-CN"/>
        </w:rPr>
        <w:t>补充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Cs/>
          <w:color w:val="000000" w:themeColor="text1"/>
          <w:sz w:val="44"/>
          <w:szCs w:val="44"/>
        </w:rPr>
        <w:t>通知</w:t>
      </w:r>
    </w:p>
    <w:p>
      <w:pPr>
        <w:adjustRightInd w:val="0"/>
        <w:snapToGrid w:val="0"/>
        <w:spacing w:line="560" w:lineRule="exact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</w:pPr>
    </w:p>
    <w:p>
      <w:pPr>
        <w:adjustRightInd w:val="0"/>
        <w:snapToGrid w:val="0"/>
        <w:spacing w:line="560" w:lineRule="exact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</w:rPr>
        <w:t>各有关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企业：</w:t>
      </w:r>
    </w:p>
    <w:p>
      <w:pPr>
        <w:ind w:firstLine="640" w:firstLineChars="200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根据《关于举办环保合规性培训的预通知》的要求，现将第六期培训安排通知如下：</w:t>
      </w:r>
    </w:p>
    <w:p>
      <w:pPr>
        <w:ind w:firstLine="640" w:firstLineChars="200"/>
        <w:rPr>
          <w:rFonts w:hint="eastAsia" w:ascii="黑体" w:hAnsi="黑体" w:eastAsia="黑体" w:cs="黑体"/>
          <w:color w:val="000000" w:themeColor="text1"/>
          <w:sz w:val="32"/>
          <w:szCs w:val="32"/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</w:rPr>
        <w:t>一、培训对象</w:t>
      </w:r>
    </w:p>
    <w:p>
      <w:pPr>
        <w:ind w:firstLine="640" w:firstLineChars="200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</w:rPr>
        <w:t>哈尔滨周边成员企业，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北方水泥所辖企业（熟料基地企业、粉磨企业和商混企业）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企业党政负责人、分管节能环保工作的负责人和部门负责人。</w:t>
      </w:r>
    </w:p>
    <w:p>
      <w:pPr>
        <w:ind w:firstLine="640" w:firstLineChars="200"/>
        <w:rPr>
          <w:rFonts w:hint="eastAsia" w:ascii="黑体" w:hAnsi="黑体" w:eastAsia="黑体" w:cs="黑体"/>
          <w:color w:val="000000" w:themeColor="text1"/>
          <w:sz w:val="32"/>
          <w:szCs w:val="32"/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</w:rPr>
        <w:t>二、培训时间、地点</w:t>
      </w:r>
    </w:p>
    <w:p>
      <w:pPr>
        <w:ind w:firstLine="640" w:firstLineChars="200"/>
        <w:rPr>
          <w:rFonts w:hint="eastAsia" w:ascii="楷体_GB2312" w:hAnsi="楷体_GB2312" w:eastAsia="楷体_GB2312" w:cs="楷体_GB2312"/>
          <w:color w:val="000000" w:themeColor="text1"/>
          <w:sz w:val="32"/>
          <w:szCs w:val="32"/>
        </w:rPr>
      </w:pPr>
      <w:r>
        <w:rPr>
          <w:rFonts w:hint="eastAsia" w:ascii="楷体_GB2312" w:hAnsi="楷体_GB2312" w:eastAsia="楷体_GB2312" w:cs="楷体_GB2312"/>
          <w:color w:val="000000" w:themeColor="text1"/>
          <w:sz w:val="32"/>
          <w:szCs w:val="32"/>
        </w:rPr>
        <w:t>（一）培训时间</w:t>
      </w:r>
    </w:p>
    <w:p>
      <w:pPr>
        <w:ind w:firstLine="640" w:firstLineChars="200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11月21日13:00-17:00（11月21日9:00开始报到）</w:t>
      </w:r>
    </w:p>
    <w:p>
      <w:pPr>
        <w:ind w:firstLine="640" w:firstLineChars="200"/>
        <w:rPr>
          <w:rFonts w:hint="eastAsia" w:ascii="楷体_GB2312" w:hAnsi="楷体_GB2312" w:eastAsia="楷体_GB2312" w:cs="楷体_GB2312"/>
          <w:color w:val="000000" w:themeColor="text1"/>
          <w:sz w:val="32"/>
          <w:szCs w:val="32"/>
        </w:rPr>
      </w:pPr>
      <w:r>
        <w:rPr>
          <w:rFonts w:hint="eastAsia" w:ascii="楷体_GB2312" w:hAnsi="楷体_GB2312" w:eastAsia="楷体_GB2312" w:cs="楷体_GB2312"/>
          <w:color w:val="000000" w:themeColor="text1"/>
          <w:sz w:val="32"/>
          <w:szCs w:val="32"/>
        </w:rPr>
        <w:t>（二）培训地点</w:t>
      </w:r>
    </w:p>
    <w:p>
      <w:pPr>
        <w:ind w:firstLine="640" w:firstLineChars="200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哈尔滨索菲特大酒店</w:t>
      </w:r>
    </w:p>
    <w:p>
      <w:pPr>
        <w:ind w:firstLine="640" w:firstLineChars="200"/>
        <w:rPr>
          <w:rFonts w:hint="eastAsia" w:ascii="楷体_GB2312" w:hAnsi="楷体_GB2312" w:eastAsia="楷体_GB2312" w:cs="楷体_GB2312"/>
          <w:color w:val="000000" w:themeColor="text1"/>
          <w:sz w:val="32"/>
          <w:szCs w:val="32"/>
        </w:rPr>
      </w:pPr>
      <w:r>
        <w:rPr>
          <w:rFonts w:hint="eastAsia" w:ascii="楷体_GB2312" w:hAnsi="楷体_GB2312" w:eastAsia="楷体_GB2312" w:cs="楷体_GB2312"/>
          <w:color w:val="000000" w:themeColor="text1"/>
          <w:sz w:val="32"/>
          <w:szCs w:val="32"/>
        </w:rPr>
        <w:t>（三）培训内容</w:t>
      </w:r>
    </w:p>
    <w:p>
      <w:pPr>
        <w:ind w:firstLine="640" w:firstLineChars="200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企业环保合规性培训，集团生态环保管理要点等。</w:t>
      </w:r>
    </w:p>
    <w:p>
      <w:pPr>
        <w:ind w:firstLine="640" w:firstLineChars="200"/>
        <w:rPr>
          <w:rFonts w:hint="eastAsia" w:ascii="黑体" w:hAnsi="黑体" w:eastAsia="黑体" w:cs="黑体"/>
          <w:color w:val="000000" w:themeColor="text1"/>
          <w:sz w:val="32"/>
          <w:szCs w:val="32"/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</w:rPr>
        <w:t>三、注意事项</w:t>
      </w:r>
    </w:p>
    <w:p>
      <w:pPr>
        <w:ind w:firstLine="640" w:firstLineChars="200"/>
        <w:jc w:val="left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（一）第六期培训报名截止日期为11月15日，</w:t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begin"/>
      </w:r>
      <w:r>
        <w:rPr>
          <w:rFonts w:hint="eastAsia" w:ascii="仿宋_GB2312" w:hAnsi="仿宋_GB2312" w:eastAsia="仿宋_GB2312" w:cs="仿宋_GB2312"/>
          <w:sz w:val="32"/>
          <w:szCs w:val="32"/>
        </w:rPr>
        <w:instrText xml:space="preserve"> HYPERLINK "mailto:参会回执请统一发送至北方水泥联系人邮箱fanjingjing2009@126.com" </w:instrText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separate"/>
      </w:r>
      <w:r>
        <w:rPr>
          <w:rStyle w:val="7"/>
          <w:rFonts w:hint="eastAsia" w:ascii="仿宋_GB2312" w:hAnsi="仿宋_GB2312" w:eastAsia="仿宋_GB2312" w:cs="仿宋_GB2312"/>
          <w:color w:val="000000" w:themeColor="text1"/>
          <w:sz w:val="32"/>
          <w:szCs w:val="32"/>
          <w:u w:val="none"/>
        </w:rPr>
        <w:t>参会回执请统一发送至北方水泥联系人邮箱fanjingjing2009@126.com</w:t>
      </w:r>
      <w:r>
        <w:rPr>
          <w:rStyle w:val="7"/>
          <w:rFonts w:hint="eastAsia" w:ascii="仿宋_GB2312" w:hAnsi="仿宋_GB2312" w:eastAsia="仿宋_GB2312" w:cs="仿宋_GB2312"/>
          <w:color w:val="000000" w:themeColor="text1"/>
          <w:sz w:val="32"/>
          <w:szCs w:val="32"/>
          <w:u w:val="none"/>
        </w:rPr>
        <w:fldChar w:fldCharType="end"/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，报名后如有变化，请及时与会务组联系。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（二）培训实施签到程序，请报名人员按时参会。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（三）</w:t>
      </w:r>
      <w:r>
        <w:rPr>
          <w:rFonts w:hint="eastAsia" w:ascii="仿宋_GB2312" w:hAnsi="仿宋_GB2312" w:eastAsia="仿宋_GB2312" w:cs="仿宋_GB2312"/>
          <w:sz w:val="32"/>
          <w:szCs w:val="32"/>
        </w:rPr>
        <w:t>哈尔滨索菲特大酒店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fldChar w:fldCharType="begin"/>
      </w:r>
      <w:r>
        <w:rPr>
          <w:rFonts w:hint="eastAsia" w:ascii="仿宋_GB2312" w:hAnsi="仿宋_GB2312" w:eastAsia="仿宋_GB2312" w:cs="仿宋_GB2312"/>
          <w:sz w:val="32"/>
          <w:szCs w:val="32"/>
        </w:rPr>
        <w:instrText xml:space="preserve"> HYPERLINK "http://www.so.com/link?m=aQZxnDRJJjm%2F78pxU%2B%2Bh%2BETxC%2BBCLr%2FDBIGmHR0eIfylEwg0de5X9VDpS8rwNoi5p4KnYX3DAzcMD%2BmRfDZFGyWwYg1D3psGSKSTjubNnNXiHYUwJ1qJv0Y%2BK0SskKfFUKhNqcgTJeuxl7B2Hef0yIgPsMwXpvBPSI1eaBSkNa0QBrh1MfK0GiYEE%2FhJYAf2rkElN8pwOJtN2pFeSADItf989WGFwcxus7esSgFYihJZoWDF7p7ZN1CsUesfE7Bq0cIJtUEee9OIQfsr4HIQo%2FlbRGg0K7Gm4HlU%2Bh7N6kqXgBnYEHnWABAJW8uJsE%2FTSwsEJFjbcaQQSGOVtzXuWDlAdfp6rP4aFem7B34cceivtSRARTj4kWqtdUCN%2FZUijea%2B%2FYK8K1ztw6OazBVWbhSAlEnj0FLZgwGmwG7w4Mz0thRRVyBkkCzcN9pvTf0trMJS0cM1sSbI%3D" \t "_blank" </w:instrText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separate"/>
      </w:r>
      <w:r>
        <w:rPr>
          <w:rFonts w:hint="eastAsia" w:ascii="仿宋_GB2312" w:hAnsi="仿宋_GB2312" w:eastAsia="仿宋_GB2312" w:cs="仿宋_GB2312"/>
          <w:sz w:val="32"/>
          <w:szCs w:val="32"/>
        </w:rPr>
        <w:t>黑龙江省哈尔滨市香坊区赣水路68号 </w:t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end"/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哈尔滨西站到酒店：9公里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哈尔滨火车站到酒店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</w:rPr>
        <w:t>4.5公里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哈尔滨机场到酒店：35公里</w:t>
      </w:r>
    </w:p>
    <w:p>
      <w:pPr>
        <w:ind w:firstLine="640" w:firstLineChars="200"/>
        <w:rPr>
          <w:rFonts w:hint="eastAsia" w:ascii="黑体" w:hAnsi="黑体" w:eastAsia="黑体" w:cs="黑体"/>
          <w:color w:val="000000" w:themeColor="text1"/>
          <w:sz w:val="32"/>
          <w:szCs w:val="32"/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</w:rPr>
        <w:t>四、会务组及酒店联系人及联系方式</w:t>
      </w:r>
    </w:p>
    <w:p>
      <w:pPr>
        <w:ind w:firstLine="640" w:firstLineChars="200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会务组联系人：董利民  15601212890</w:t>
      </w:r>
    </w:p>
    <w:p>
      <w:pPr>
        <w:ind w:firstLine="2880" w:firstLineChars="900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李宪宏  13796634295</w:t>
      </w:r>
    </w:p>
    <w:p>
      <w:pPr>
        <w:ind w:firstLine="2880" w:firstLineChars="900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范婧婧  13500899929</w:t>
      </w:r>
    </w:p>
    <w:p>
      <w:pPr>
        <w:ind w:firstLine="707" w:firstLineChars="221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哈尔滨索菲特大酒店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</w:rPr>
        <w:t>王海峰  15846363236</w:t>
      </w:r>
    </w:p>
    <w:p>
      <w:pPr>
        <w:ind w:firstLine="640" w:firstLineChars="200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</w:pPr>
    </w:p>
    <w:p>
      <w:pPr>
        <w:ind w:firstLine="640" w:firstLineChars="200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特此通知。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</w:pPr>
    </w:p>
    <w:p>
      <w:pPr>
        <w:ind w:firstLine="640" w:firstLineChars="200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附件：第六期环保合规性培训报名回执</w:t>
      </w:r>
    </w:p>
    <w:p>
      <w:pPr>
        <w:ind w:firstLine="640" w:firstLineChars="200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</w:pPr>
    </w:p>
    <w:p>
      <w:pPr>
        <w:ind w:firstLine="640" w:firstLineChars="200"/>
        <w:jc w:val="center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 xml:space="preserve">               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</w:rPr>
        <w:t>中国建材集团企业管理部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 xml:space="preserve">                                            </w:t>
      </w:r>
    </w:p>
    <w:p>
      <w:pPr>
        <w:ind w:firstLine="640" w:firstLineChars="200"/>
        <w:jc w:val="center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 xml:space="preserve">                2019年11月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日</w:t>
      </w:r>
    </w:p>
    <w:p>
      <w:pPr>
        <w:ind w:firstLine="640" w:firstLineChars="200"/>
        <w:jc w:val="center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</w:pPr>
    </w:p>
    <w:p>
      <w:pPr>
        <w:jc w:val="center"/>
        <w:rPr>
          <w:rFonts w:hint="eastAsia" w:ascii="宋体" w:hAnsi="宋体" w:eastAsia="宋体" w:cs="方正小标宋简体"/>
          <w:color w:val="000000" w:themeColor="text1"/>
          <w:sz w:val="32"/>
          <w:szCs w:val="32"/>
        </w:rPr>
      </w:pPr>
    </w:p>
    <w:p>
      <w:pPr>
        <w:jc w:val="center"/>
        <w:rPr>
          <w:rFonts w:ascii="宋体" w:hAnsi="宋体" w:eastAsia="宋体" w:cs="仿宋_GB2312"/>
          <w:color w:val="000000" w:themeColor="text1"/>
          <w:sz w:val="32"/>
          <w:szCs w:val="32"/>
        </w:rPr>
      </w:pPr>
      <w:r>
        <w:rPr>
          <w:rFonts w:hint="eastAsia" w:ascii="宋体" w:hAnsi="宋体" w:eastAsia="宋体" w:cs="方正小标宋简体"/>
          <w:color w:val="000000" w:themeColor="text1"/>
          <w:sz w:val="32"/>
          <w:szCs w:val="32"/>
        </w:rPr>
        <w:t>第</w:t>
      </w:r>
      <w:r>
        <w:rPr>
          <w:rFonts w:hint="eastAsia" w:ascii="宋体" w:hAnsi="宋体" w:cs="方正小标宋简体"/>
          <w:color w:val="000000" w:themeColor="text1"/>
          <w:sz w:val="32"/>
          <w:szCs w:val="32"/>
        </w:rPr>
        <w:t>六</w:t>
      </w:r>
      <w:r>
        <w:rPr>
          <w:rFonts w:hint="eastAsia" w:ascii="宋体" w:hAnsi="宋体" w:eastAsia="宋体" w:cs="方正小标宋简体"/>
          <w:color w:val="000000" w:themeColor="text1"/>
          <w:sz w:val="32"/>
          <w:szCs w:val="32"/>
        </w:rPr>
        <w:t>期环保合规性培训参会回执</w:t>
      </w:r>
    </w:p>
    <w:p>
      <w:pPr>
        <w:ind w:firstLine="640" w:firstLineChars="200"/>
        <w:jc w:val="center"/>
        <w:rPr>
          <w:rFonts w:ascii="仿宋_GB2312" w:hAnsi="仿宋_GB2312" w:eastAsia="仿宋_GB2312" w:cs="仿宋_GB2312"/>
          <w:color w:val="000000" w:themeColor="text1"/>
          <w:sz w:val="32"/>
          <w:szCs w:val="40"/>
        </w:rPr>
      </w:pPr>
    </w:p>
    <w:p>
      <w:pPr>
        <w:rPr>
          <w:rFonts w:ascii="仿宋_GB2312" w:hAnsi="仿宋_GB2312" w:eastAsia="仿宋_GB2312" w:cs="仿宋_GB2312"/>
          <w:color w:val="000000" w:themeColor="text1"/>
          <w:sz w:val="32"/>
          <w:szCs w:val="40"/>
        </w:rPr>
      </w:pPr>
    </w:p>
    <w:p>
      <w:pPr>
        <w:ind w:firstLine="640" w:firstLineChars="200"/>
        <w:jc w:val="center"/>
        <w:rPr>
          <w:rFonts w:ascii="仿宋_GB2312" w:hAnsi="仿宋_GB2312" w:eastAsia="仿宋_GB2312" w:cs="仿宋_GB2312"/>
          <w:color w:val="000000" w:themeColor="text1"/>
          <w:sz w:val="32"/>
          <w:szCs w:val="40"/>
        </w:rPr>
      </w:pPr>
    </w:p>
    <w:p>
      <w:pPr>
        <w:ind w:firstLine="640" w:firstLineChars="200"/>
        <w:jc w:val="center"/>
        <w:rPr>
          <w:rFonts w:ascii="仿宋_GB2312" w:hAnsi="仿宋_GB2312" w:eastAsia="仿宋_GB2312" w:cs="仿宋_GB2312"/>
          <w:color w:val="000000" w:themeColor="text1"/>
          <w:sz w:val="32"/>
          <w:szCs w:val="40"/>
        </w:rPr>
      </w:pPr>
    </w:p>
    <w:p>
      <w:pPr>
        <w:ind w:firstLine="640" w:firstLineChars="200"/>
        <w:jc w:val="left"/>
        <w:rPr>
          <w:rFonts w:ascii="仿宋_GB2312" w:hAnsi="仿宋_GB2312" w:eastAsia="仿宋_GB2312" w:cs="仿宋_GB2312"/>
          <w:color w:val="000000" w:themeColor="text1"/>
          <w:sz w:val="32"/>
          <w:szCs w:val="40"/>
        </w:rPr>
      </w:pPr>
    </w:p>
    <w:p>
      <w:pPr>
        <w:rPr>
          <w:rFonts w:ascii="仿宋_GB2312" w:hAnsi="仿宋_GB2312" w:eastAsia="仿宋_GB2312" w:cs="仿宋_GB2312"/>
          <w:color w:val="000000" w:themeColor="text1"/>
          <w:sz w:val="32"/>
          <w:szCs w:val="40"/>
        </w:rPr>
      </w:pPr>
    </w:p>
    <w:p>
      <w:pPr>
        <w:spacing w:line="360" w:lineRule="auto"/>
        <w:ind w:left="5963" w:hanging="5963" w:hangingChars="1350"/>
        <w:jc w:val="center"/>
        <w:rPr>
          <w:rFonts w:cs="方正小标宋简体" w:asciiTheme="majorEastAsia" w:hAnsiTheme="majorEastAsia" w:eastAsiaTheme="majorEastAsia"/>
          <w:b/>
          <w:color w:val="000000" w:themeColor="text1"/>
          <w:sz w:val="44"/>
          <w:szCs w:val="44"/>
        </w:rPr>
      </w:pPr>
    </w:p>
    <w:tbl>
      <w:tblPr>
        <w:tblStyle w:val="4"/>
        <w:tblpPr w:leftFromText="180" w:rightFromText="180" w:vertAnchor="page" w:horzAnchor="page" w:tblpX="1711" w:tblpY="3974"/>
        <w:tblW w:w="5000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61"/>
        <w:gridCol w:w="1278"/>
        <w:gridCol w:w="1274"/>
        <w:gridCol w:w="538"/>
        <w:gridCol w:w="456"/>
        <w:gridCol w:w="1700"/>
        <w:gridCol w:w="85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1518" w:type="pct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color w:val="000000" w:themeColor="text1"/>
                <w:sz w:val="24"/>
              </w:rPr>
            </w:pPr>
            <w:r>
              <w:rPr>
                <w:rFonts w:hint="eastAsia" w:ascii="宋体" w:hAnsi="宋体"/>
                <w:color w:val="000000" w:themeColor="text1"/>
                <w:sz w:val="24"/>
              </w:rPr>
              <w:t>单位</w:t>
            </w:r>
          </w:p>
        </w:tc>
        <w:tc>
          <w:tcPr>
            <w:tcW w:w="729" w:type="pct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color w:val="000000" w:themeColor="text1"/>
                <w:sz w:val="24"/>
              </w:rPr>
            </w:pPr>
            <w:r>
              <w:rPr>
                <w:rFonts w:hint="eastAsia" w:ascii="宋体" w:hAnsi="宋体"/>
                <w:color w:val="000000" w:themeColor="text1"/>
                <w:sz w:val="24"/>
              </w:rPr>
              <w:t>姓名</w:t>
            </w:r>
          </w:p>
        </w:tc>
        <w:tc>
          <w:tcPr>
            <w:tcW w:w="727" w:type="pct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color w:val="000000" w:themeColor="text1"/>
                <w:sz w:val="24"/>
              </w:rPr>
            </w:pPr>
            <w:r>
              <w:rPr>
                <w:rFonts w:hint="eastAsia" w:ascii="宋体" w:hAnsi="宋体"/>
                <w:color w:val="000000" w:themeColor="text1"/>
                <w:sz w:val="24"/>
              </w:rPr>
              <w:t>职务</w:t>
            </w:r>
          </w:p>
        </w:tc>
        <w:tc>
          <w:tcPr>
            <w:tcW w:w="307" w:type="pct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color w:val="000000" w:themeColor="text1"/>
                <w:sz w:val="24"/>
              </w:rPr>
            </w:pPr>
            <w:r>
              <w:rPr>
                <w:rFonts w:hint="eastAsia" w:ascii="宋体" w:hAnsi="宋体"/>
                <w:color w:val="000000" w:themeColor="text1"/>
                <w:sz w:val="24"/>
              </w:rPr>
              <w:t>性别</w:t>
            </w:r>
          </w:p>
        </w:tc>
        <w:tc>
          <w:tcPr>
            <w:tcW w:w="260" w:type="pct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color w:val="000000" w:themeColor="text1"/>
                <w:sz w:val="24"/>
              </w:rPr>
            </w:pPr>
            <w:r>
              <w:rPr>
                <w:rFonts w:hint="eastAsia" w:ascii="宋体" w:hAnsi="宋体"/>
                <w:color w:val="000000" w:themeColor="text1"/>
                <w:sz w:val="24"/>
              </w:rPr>
              <w:t>民族</w:t>
            </w:r>
          </w:p>
        </w:tc>
        <w:tc>
          <w:tcPr>
            <w:tcW w:w="970" w:type="pct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color w:val="000000" w:themeColor="text1"/>
                <w:sz w:val="24"/>
              </w:rPr>
            </w:pPr>
            <w:r>
              <w:rPr>
                <w:rFonts w:hint="eastAsia" w:ascii="宋体" w:hAnsi="宋体"/>
                <w:color w:val="000000" w:themeColor="text1"/>
                <w:sz w:val="24"/>
              </w:rPr>
              <w:t>联系方式</w:t>
            </w:r>
          </w:p>
        </w:tc>
        <w:tc>
          <w:tcPr>
            <w:tcW w:w="490" w:type="pct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color w:val="000000" w:themeColor="text1"/>
                <w:sz w:val="24"/>
              </w:rPr>
            </w:pPr>
            <w:r>
              <w:rPr>
                <w:rFonts w:hint="eastAsia" w:ascii="宋体" w:hAnsi="宋体"/>
                <w:color w:val="000000" w:themeColor="text1"/>
                <w:sz w:val="24"/>
              </w:rPr>
              <w:t>是否合住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1518" w:type="pct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color w:val="000000" w:themeColor="text1"/>
                <w:sz w:val="24"/>
              </w:rPr>
            </w:pPr>
          </w:p>
        </w:tc>
        <w:tc>
          <w:tcPr>
            <w:tcW w:w="729" w:type="pct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color w:val="000000" w:themeColor="text1"/>
                <w:sz w:val="24"/>
              </w:rPr>
            </w:pPr>
          </w:p>
        </w:tc>
        <w:tc>
          <w:tcPr>
            <w:tcW w:w="727" w:type="pct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color w:val="000000" w:themeColor="text1"/>
                <w:sz w:val="24"/>
              </w:rPr>
            </w:pPr>
          </w:p>
        </w:tc>
        <w:tc>
          <w:tcPr>
            <w:tcW w:w="307" w:type="pct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color w:val="000000" w:themeColor="text1"/>
                <w:sz w:val="24"/>
              </w:rPr>
            </w:pPr>
          </w:p>
        </w:tc>
        <w:tc>
          <w:tcPr>
            <w:tcW w:w="260" w:type="pct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color w:val="000000" w:themeColor="text1"/>
                <w:sz w:val="24"/>
              </w:rPr>
            </w:pPr>
          </w:p>
        </w:tc>
        <w:tc>
          <w:tcPr>
            <w:tcW w:w="970" w:type="pct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ascii="宋体" w:hAnsi="宋体"/>
                <w:color w:val="000000" w:themeColor="text1"/>
                <w:sz w:val="24"/>
              </w:rPr>
            </w:pPr>
          </w:p>
        </w:tc>
        <w:tc>
          <w:tcPr>
            <w:tcW w:w="490" w:type="pct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color w:val="000000" w:themeColor="text1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518" w:type="pct"/>
            <w:tcBorders>
              <w:top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color w:val="000000" w:themeColor="text1"/>
                <w:sz w:val="24"/>
              </w:rPr>
            </w:pPr>
          </w:p>
        </w:tc>
        <w:tc>
          <w:tcPr>
            <w:tcW w:w="729" w:type="pct"/>
            <w:tcBorders>
              <w:top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color w:val="000000" w:themeColor="text1"/>
                <w:sz w:val="24"/>
              </w:rPr>
            </w:pPr>
          </w:p>
        </w:tc>
        <w:tc>
          <w:tcPr>
            <w:tcW w:w="727" w:type="pct"/>
            <w:tcBorders>
              <w:top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color w:val="000000" w:themeColor="text1"/>
                <w:sz w:val="24"/>
              </w:rPr>
            </w:pPr>
          </w:p>
        </w:tc>
        <w:tc>
          <w:tcPr>
            <w:tcW w:w="307" w:type="pct"/>
            <w:tcBorders>
              <w:top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color w:val="000000" w:themeColor="text1"/>
                <w:sz w:val="24"/>
              </w:rPr>
            </w:pPr>
          </w:p>
        </w:tc>
        <w:tc>
          <w:tcPr>
            <w:tcW w:w="260" w:type="pct"/>
            <w:tcBorders>
              <w:top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color w:val="000000" w:themeColor="text1"/>
                <w:sz w:val="24"/>
              </w:rPr>
            </w:pPr>
          </w:p>
        </w:tc>
        <w:tc>
          <w:tcPr>
            <w:tcW w:w="970" w:type="pct"/>
            <w:tcBorders>
              <w:top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color w:val="000000" w:themeColor="text1"/>
                <w:sz w:val="24"/>
              </w:rPr>
            </w:pPr>
          </w:p>
        </w:tc>
        <w:tc>
          <w:tcPr>
            <w:tcW w:w="490" w:type="pct"/>
            <w:tcBorders>
              <w:top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color w:val="000000" w:themeColor="text1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1518" w:type="pct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color w:val="000000" w:themeColor="text1"/>
                <w:sz w:val="24"/>
              </w:rPr>
            </w:pPr>
          </w:p>
        </w:tc>
        <w:tc>
          <w:tcPr>
            <w:tcW w:w="729" w:type="pct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color w:val="000000" w:themeColor="text1"/>
                <w:sz w:val="24"/>
              </w:rPr>
            </w:pPr>
          </w:p>
        </w:tc>
        <w:tc>
          <w:tcPr>
            <w:tcW w:w="727" w:type="pct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color w:val="000000" w:themeColor="text1"/>
                <w:sz w:val="24"/>
              </w:rPr>
            </w:pPr>
          </w:p>
        </w:tc>
        <w:tc>
          <w:tcPr>
            <w:tcW w:w="307" w:type="pct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color w:val="000000" w:themeColor="text1"/>
                <w:sz w:val="24"/>
              </w:rPr>
            </w:pPr>
          </w:p>
        </w:tc>
        <w:tc>
          <w:tcPr>
            <w:tcW w:w="260" w:type="pct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color w:val="000000" w:themeColor="text1"/>
                <w:sz w:val="24"/>
              </w:rPr>
            </w:pPr>
          </w:p>
        </w:tc>
        <w:tc>
          <w:tcPr>
            <w:tcW w:w="970" w:type="pct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color w:val="000000" w:themeColor="text1"/>
                <w:sz w:val="24"/>
              </w:rPr>
            </w:pPr>
          </w:p>
        </w:tc>
        <w:tc>
          <w:tcPr>
            <w:tcW w:w="490" w:type="pct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color w:val="000000" w:themeColor="text1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1518" w:type="pct"/>
            <w:tcBorders>
              <w:top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color w:val="000000" w:themeColor="text1"/>
                <w:sz w:val="24"/>
              </w:rPr>
            </w:pPr>
          </w:p>
        </w:tc>
        <w:tc>
          <w:tcPr>
            <w:tcW w:w="729" w:type="pct"/>
            <w:tcBorders>
              <w:top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color w:val="000000" w:themeColor="text1"/>
                <w:sz w:val="24"/>
              </w:rPr>
            </w:pPr>
          </w:p>
        </w:tc>
        <w:tc>
          <w:tcPr>
            <w:tcW w:w="727" w:type="pct"/>
            <w:tcBorders>
              <w:top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color w:val="000000" w:themeColor="text1"/>
                <w:sz w:val="24"/>
              </w:rPr>
            </w:pPr>
          </w:p>
        </w:tc>
        <w:tc>
          <w:tcPr>
            <w:tcW w:w="307" w:type="pct"/>
            <w:tcBorders>
              <w:top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color w:val="000000" w:themeColor="text1"/>
                <w:sz w:val="24"/>
              </w:rPr>
            </w:pPr>
          </w:p>
        </w:tc>
        <w:tc>
          <w:tcPr>
            <w:tcW w:w="260" w:type="pct"/>
            <w:tcBorders>
              <w:top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color w:val="000000" w:themeColor="text1"/>
                <w:sz w:val="24"/>
              </w:rPr>
            </w:pPr>
          </w:p>
        </w:tc>
        <w:tc>
          <w:tcPr>
            <w:tcW w:w="970" w:type="pct"/>
            <w:tcBorders>
              <w:top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color w:val="000000" w:themeColor="text1"/>
                <w:sz w:val="24"/>
              </w:rPr>
            </w:pPr>
          </w:p>
        </w:tc>
        <w:tc>
          <w:tcPr>
            <w:tcW w:w="490" w:type="pct"/>
            <w:tcBorders>
              <w:top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color w:val="000000" w:themeColor="text1"/>
                <w:sz w:val="24"/>
              </w:rPr>
            </w:pPr>
          </w:p>
        </w:tc>
      </w:tr>
    </w:tbl>
    <w:p>
      <w:pPr>
        <w:rPr>
          <w:sz w:val="28"/>
          <w:szCs w:val="28"/>
        </w:rPr>
        <w:sectPr>
          <w:pgSz w:w="11906" w:h="16838"/>
          <w:pgMar w:top="1843" w:right="1558" w:bottom="1440" w:left="1800" w:header="851" w:footer="992" w:gutter="0"/>
          <w:cols w:space="425" w:num="1"/>
          <w:docGrid w:type="lines" w:linePitch="312" w:charSpace="0"/>
        </w:sectPr>
      </w:pPr>
    </w:p>
    <w:p>
      <w:pPr>
        <w:widowControl/>
        <w:jc w:val="left"/>
      </w:pPr>
    </w:p>
    <w:sectPr>
      <w:pgSz w:w="11906" w:h="16838"/>
      <w:pgMar w:top="1440" w:right="1558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32F12"/>
    <w:rsid w:val="00015038"/>
    <w:rsid w:val="000411C0"/>
    <w:rsid w:val="000420F7"/>
    <w:rsid w:val="00051983"/>
    <w:rsid w:val="000633A7"/>
    <w:rsid w:val="00083680"/>
    <w:rsid w:val="00092849"/>
    <w:rsid w:val="000A25A8"/>
    <w:rsid w:val="000E469C"/>
    <w:rsid w:val="00150644"/>
    <w:rsid w:val="001A5D15"/>
    <w:rsid w:val="001B396D"/>
    <w:rsid w:val="001C26E6"/>
    <w:rsid w:val="001C3878"/>
    <w:rsid w:val="001D0B4A"/>
    <w:rsid w:val="001E0BEE"/>
    <w:rsid w:val="001E1095"/>
    <w:rsid w:val="00226FC0"/>
    <w:rsid w:val="002372A8"/>
    <w:rsid w:val="00245C3E"/>
    <w:rsid w:val="00266DDC"/>
    <w:rsid w:val="00267C03"/>
    <w:rsid w:val="0027373E"/>
    <w:rsid w:val="002737F7"/>
    <w:rsid w:val="00292DB8"/>
    <w:rsid w:val="002A3395"/>
    <w:rsid w:val="002B40B8"/>
    <w:rsid w:val="002B6CFB"/>
    <w:rsid w:val="002F135C"/>
    <w:rsid w:val="00324E5C"/>
    <w:rsid w:val="0033658E"/>
    <w:rsid w:val="00390B0B"/>
    <w:rsid w:val="003D4408"/>
    <w:rsid w:val="003E150B"/>
    <w:rsid w:val="003F24DF"/>
    <w:rsid w:val="00451B14"/>
    <w:rsid w:val="004711F4"/>
    <w:rsid w:val="00497B1C"/>
    <w:rsid w:val="004B0C58"/>
    <w:rsid w:val="004E07E6"/>
    <w:rsid w:val="004F14ED"/>
    <w:rsid w:val="004F2B0D"/>
    <w:rsid w:val="0050766F"/>
    <w:rsid w:val="00517E0D"/>
    <w:rsid w:val="00570575"/>
    <w:rsid w:val="0057384C"/>
    <w:rsid w:val="005773FD"/>
    <w:rsid w:val="005B1B41"/>
    <w:rsid w:val="005E1192"/>
    <w:rsid w:val="00610574"/>
    <w:rsid w:val="00633C80"/>
    <w:rsid w:val="00644955"/>
    <w:rsid w:val="006532FD"/>
    <w:rsid w:val="00674843"/>
    <w:rsid w:val="006C259A"/>
    <w:rsid w:val="006C26DA"/>
    <w:rsid w:val="006E4BA5"/>
    <w:rsid w:val="0072281E"/>
    <w:rsid w:val="00732F12"/>
    <w:rsid w:val="0076140B"/>
    <w:rsid w:val="007736F4"/>
    <w:rsid w:val="00777217"/>
    <w:rsid w:val="007E1D18"/>
    <w:rsid w:val="007F02CB"/>
    <w:rsid w:val="00806683"/>
    <w:rsid w:val="00810DD4"/>
    <w:rsid w:val="00881894"/>
    <w:rsid w:val="008E6FFC"/>
    <w:rsid w:val="008F3D11"/>
    <w:rsid w:val="00922042"/>
    <w:rsid w:val="00935B53"/>
    <w:rsid w:val="00963E34"/>
    <w:rsid w:val="009D2E57"/>
    <w:rsid w:val="009F12C4"/>
    <w:rsid w:val="00A17741"/>
    <w:rsid w:val="00A34201"/>
    <w:rsid w:val="00A438B2"/>
    <w:rsid w:val="00A50CC3"/>
    <w:rsid w:val="00A53863"/>
    <w:rsid w:val="00A77A94"/>
    <w:rsid w:val="00A94319"/>
    <w:rsid w:val="00AA0DAC"/>
    <w:rsid w:val="00AC67B2"/>
    <w:rsid w:val="00AD2FD4"/>
    <w:rsid w:val="00AD5C93"/>
    <w:rsid w:val="00AD6941"/>
    <w:rsid w:val="00AE30B3"/>
    <w:rsid w:val="00AF6910"/>
    <w:rsid w:val="00B15210"/>
    <w:rsid w:val="00BA5B28"/>
    <w:rsid w:val="00BB113A"/>
    <w:rsid w:val="00BC4312"/>
    <w:rsid w:val="00BD01BE"/>
    <w:rsid w:val="00BD1528"/>
    <w:rsid w:val="00BD5066"/>
    <w:rsid w:val="00C01EA8"/>
    <w:rsid w:val="00C05A56"/>
    <w:rsid w:val="00C42011"/>
    <w:rsid w:val="00C640CD"/>
    <w:rsid w:val="00C65053"/>
    <w:rsid w:val="00C83EAA"/>
    <w:rsid w:val="00C9738E"/>
    <w:rsid w:val="00CB48FA"/>
    <w:rsid w:val="00CF1C64"/>
    <w:rsid w:val="00D10A1C"/>
    <w:rsid w:val="00D16FA2"/>
    <w:rsid w:val="00D410C5"/>
    <w:rsid w:val="00D64D71"/>
    <w:rsid w:val="00DC7ECA"/>
    <w:rsid w:val="00E26598"/>
    <w:rsid w:val="00E30028"/>
    <w:rsid w:val="00E45BCB"/>
    <w:rsid w:val="00E50110"/>
    <w:rsid w:val="00E830A5"/>
    <w:rsid w:val="00ED3B3A"/>
    <w:rsid w:val="00F10F98"/>
    <w:rsid w:val="00F24C42"/>
    <w:rsid w:val="00F51998"/>
    <w:rsid w:val="00F631B2"/>
    <w:rsid w:val="00F85213"/>
    <w:rsid w:val="00F939E2"/>
    <w:rsid w:val="00FC5AAD"/>
    <w:rsid w:val="00FF1169"/>
    <w:rsid w:val="00FF6270"/>
    <w:rsid w:val="252C7649"/>
    <w:rsid w:val="47C32D14"/>
    <w:rsid w:val="50E70BC8"/>
    <w:rsid w:val="52626BB3"/>
    <w:rsid w:val="5994654C"/>
    <w:rsid w:val="5EA43D09"/>
    <w:rsid w:val="6E2A6820"/>
    <w:rsid w:val="73C66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Hyperlink"/>
    <w:basedOn w:val="6"/>
    <w:unhideWhenUsed/>
    <w:uiPriority w:val="99"/>
    <w:rPr>
      <w:color w:val="0000FF" w:themeColor="hyperlink"/>
      <w:u w:val="single"/>
    </w:rPr>
  </w:style>
  <w:style w:type="character" w:customStyle="1" w:styleId="8">
    <w:name w:val="页眉 Char"/>
    <w:basedOn w:val="6"/>
    <w:link w:val="3"/>
    <w:semiHidden/>
    <w:uiPriority w:val="99"/>
    <w:rPr>
      <w:sz w:val="18"/>
      <w:szCs w:val="18"/>
    </w:rPr>
  </w:style>
  <w:style w:type="character" w:customStyle="1" w:styleId="9">
    <w:name w:val="页脚 Char"/>
    <w:basedOn w:val="6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6D4383D-7ED7-4042-9570-369E76F0F8D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user</Company>
  <Pages>4</Pages>
  <Words>205</Words>
  <Characters>1169</Characters>
  <Lines>9</Lines>
  <Paragraphs>2</Paragraphs>
  <TotalTime>6</TotalTime>
  <ScaleCrop>false</ScaleCrop>
  <LinksUpToDate>false</LinksUpToDate>
  <CharactersWithSpaces>1372</CharactersWithSpaces>
  <Application>WPS Office_11.1.0.9175_F1E327BC-269C-435d-A152-05C5408002CA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2019-11-05T22:16:00Z</dcterms:created>
  <dc:creator>admin</dc:creator>
  <cp:lastModifiedBy>支跃</cp:lastModifiedBy>
  <cp:lastPrinted>2019-11-06T07:26:10Z</cp:lastPrinted>
  <dcterms:modified xsi:type="dcterms:W3CDTF">2019-11-06T07:27:23Z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2052-11.1.0.9175</vt:lpwstr>
  </property>
</Properties>
</file>